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Default="00DF4241" w:rsidP="00F1513A">
      <w:pPr>
        <w:spacing w:after="120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522605" cy="3935095"/>
            <wp:effectExtent l="8255" t="0" r="0" b="0"/>
            <wp:docPr id="229" name="图片 2055" descr="OSP5000-OLP-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55" descr="OSP5000-OLP-4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22605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A56AC0" w:rsidRDefault="00367E61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A56AC0">
        <w:rPr>
          <w:rFonts w:hint="eastAsia"/>
          <w:b/>
          <w:sz w:val="32"/>
          <w:szCs w:val="32"/>
        </w:rPr>
        <w:t>光线路保护</w:t>
      </w:r>
      <w:r w:rsidR="00253381" w:rsidRPr="00A56AC0">
        <w:rPr>
          <w:rFonts w:hint="eastAsia"/>
          <w:b/>
          <w:sz w:val="32"/>
          <w:szCs w:val="32"/>
        </w:rPr>
        <w:t>O</w:t>
      </w:r>
      <w:r w:rsidRPr="00A56AC0">
        <w:rPr>
          <w:b/>
          <w:sz w:val="32"/>
          <w:szCs w:val="32"/>
        </w:rPr>
        <w:t>LP</w:t>
      </w:r>
      <w:r w:rsidR="00F3445D" w:rsidRPr="00A56AC0">
        <w:rPr>
          <w:rFonts w:hint="eastAsia"/>
          <w:b/>
          <w:sz w:val="32"/>
          <w:szCs w:val="32"/>
        </w:rPr>
        <w:t>板卡</w:t>
      </w:r>
    </w:p>
    <w:p w:rsidR="004550DC" w:rsidRDefault="004550DC" w:rsidP="00F1513A">
      <w:pPr>
        <w:pStyle w:val="11"/>
        <w:spacing w:after="60" w:line="240" w:lineRule="auto"/>
        <w:ind w:left="0"/>
        <w:rPr>
          <w:b/>
          <w:color w:val="FF0000"/>
          <w:sz w:val="32"/>
          <w:szCs w:val="32"/>
        </w:rPr>
      </w:pPr>
    </w:p>
    <w:p w:rsidR="00F1513A" w:rsidRPr="00A56AC0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A56AC0">
        <w:rPr>
          <w:rFonts w:hint="eastAsia"/>
          <w:b/>
          <w:sz w:val="32"/>
          <w:szCs w:val="32"/>
        </w:rPr>
        <w:t>产品</w:t>
      </w:r>
      <w:r w:rsidRPr="00A56AC0">
        <w:rPr>
          <w:b/>
          <w:sz w:val="32"/>
          <w:szCs w:val="32"/>
        </w:rPr>
        <w:t>概述</w:t>
      </w:r>
      <w:r w:rsidRPr="00A56AC0">
        <w:rPr>
          <w:b/>
          <w:sz w:val="32"/>
          <w:szCs w:val="32"/>
        </w:rPr>
        <w:t xml:space="preserve"> </w:t>
      </w:r>
    </w:p>
    <w:p w:rsidR="00F1513A" w:rsidRPr="00A56AC0" w:rsidRDefault="003B455C" w:rsidP="00A56AC0">
      <w:pPr>
        <w:rPr>
          <w:rFonts w:ascii="宋体" w:hAnsi="宋体" w:cs="MyriadPro-SemiCn"/>
          <w:color w:val="000000"/>
          <w:szCs w:val="21"/>
        </w:rPr>
      </w:pPr>
      <w:r w:rsidRPr="00A56AC0">
        <w:rPr>
          <w:rFonts w:ascii="宋体" w:hAnsi="宋体" w:cs="MyriadPro-SemiCn"/>
          <w:color w:val="000000"/>
          <w:szCs w:val="21"/>
        </w:rPr>
        <w:t>OLP</w:t>
      </w:r>
      <w:r w:rsidR="003916EA" w:rsidRPr="00A56AC0">
        <w:rPr>
          <w:rFonts w:ascii="宋体" w:hAnsi="宋体" w:cs="MyriadPro-SemiCn" w:hint="eastAsia"/>
          <w:color w:val="000000"/>
          <w:szCs w:val="21"/>
        </w:rPr>
        <w:t>采用</w:t>
      </w:r>
      <w:r w:rsidR="00367E61" w:rsidRPr="00A56AC0">
        <w:rPr>
          <w:rFonts w:ascii="宋体" w:hAnsi="宋体" w:cs="MyriadPro-SemiCn" w:hint="eastAsia"/>
          <w:color w:val="000000"/>
          <w:szCs w:val="21"/>
        </w:rPr>
        <w:t>先进光开关技术，</w:t>
      </w:r>
      <w:r w:rsidR="005416D2" w:rsidRPr="00A56AC0">
        <w:rPr>
          <w:rFonts w:ascii="宋体" w:hAnsi="宋体" w:cs="MyriadPro-SemiCn" w:hint="eastAsia"/>
          <w:color w:val="000000"/>
          <w:szCs w:val="21"/>
        </w:rPr>
        <w:t>核心功能是</w:t>
      </w:r>
      <w:r w:rsidR="00367E61" w:rsidRPr="00A56AC0">
        <w:rPr>
          <w:rFonts w:ascii="宋体" w:hAnsi="宋体" w:cs="MyriadPro-SemiCn" w:hint="eastAsia"/>
          <w:color w:val="000000"/>
          <w:szCs w:val="21"/>
        </w:rPr>
        <w:t>当光传输线路上光纤</w:t>
      </w:r>
      <w:bookmarkStart w:id="0" w:name="_GoBack"/>
      <w:bookmarkEnd w:id="0"/>
      <w:r w:rsidRPr="00A56AC0">
        <w:rPr>
          <w:rFonts w:ascii="宋体" w:hAnsi="宋体" w:cs="MyriadPro-SemiCn" w:hint="eastAsia"/>
          <w:color w:val="000000"/>
          <w:szCs w:val="21"/>
        </w:rPr>
        <w:t>损耗变大或意外折断</w:t>
      </w:r>
      <w:r w:rsidR="00367E61" w:rsidRPr="00A56AC0">
        <w:rPr>
          <w:rFonts w:ascii="宋体" w:hAnsi="宋体" w:cs="MyriadPro-SemiCn" w:hint="eastAsia"/>
          <w:color w:val="000000"/>
          <w:szCs w:val="21"/>
        </w:rPr>
        <w:t>导致通讯质量下降</w:t>
      </w:r>
      <w:r w:rsidRPr="00A56AC0">
        <w:rPr>
          <w:rFonts w:ascii="宋体" w:hAnsi="宋体" w:cs="MyriadPro-SemiCn" w:hint="eastAsia"/>
          <w:color w:val="000000"/>
          <w:szCs w:val="21"/>
        </w:rPr>
        <w:t>或业务中断时，系统能够在极短地时间内自动地将光传输线路从</w:t>
      </w:r>
      <w:r w:rsidR="003916EA" w:rsidRPr="00A56AC0">
        <w:rPr>
          <w:rFonts w:ascii="宋体" w:hAnsi="宋体" w:cs="MyriadPro-SemiCn" w:hint="eastAsia"/>
          <w:color w:val="000000"/>
          <w:szCs w:val="21"/>
        </w:rPr>
        <w:t>在</w:t>
      </w:r>
      <w:r w:rsidR="00367E61" w:rsidRPr="00A56AC0">
        <w:rPr>
          <w:rFonts w:ascii="宋体" w:hAnsi="宋体" w:cs="MyriadPro-SemiCn" w:hint="eastAsia"/>
          <w:color w:val="000000"/>
          <w:szCs w:val="21"/>
        </w:rPr>
        <w:t>用路由切换至备用路由，从而保证了通信</w:t>
      </w:r>
      <w:r w:rsidR="003916EA" w:rsidRPr="00A56AC0">
        <w:rPr>
          <w:rFonts w:ascii="宋体" w:hAnsi="宋体" w:cs="MyriadPro-SemiCn" w:hint="eastAsia"/>
          <w:color w:val="000000"/>
          <w:szCs w:val="21"/>
        </w:rPr>
        <w:t>业务</w:t>
      </w:r>
      <w:r w:rsidR="00367E61" w:rsidRPr="00A56AC0">
        <w:rPr>
          <w:rFonts w:ascii="宋体" w:hAnsi="宋体" w:cs="MyriadPro-SemiCn" w:hint="eastAsia"/>
          <w:color w:val="000000"/>
          <w:szCs w:val="21"/>
        </w:rPr>
        <w:t>的正常工作，将</w:t>
      </w:r>
      <w:r w:rsidRPr="00A56AC0">
        <w:rPr>
          <w:rFonts w:ascii="宋体" w:hAnsi="宋体" w:cs="MyriadPro-SemiCn" w:hint="eastAsia"/>
          <w:color w:val="000000"/>
          <w:szCs w:val="21"/>
        </w:rPr>
        <w:t>业务</w:t>
      </w:r>
      <w:r w:rsidR="00367E61" w:rsidRPr="00A56AC0">
        <w:rPr>
          <w:rFonts w:ascii="宋体" w:hAnsi="宋体" w:cs="MyriadPro-SemiCn" w:hint="eastAsia"/>
          <w:color w:val="000000"/>
          <w:szCs w:val="21"/>
        </w:rPr>
        <w:t>恢复时间从数小时压缩至毫秒量级。</w:t>
      </w:r>
    </w:p>
    <w:p w:rsidR="00F1513A" w:rsidRDefault="00F1513A" w:rsidP="00F1513A">
      <w:pPr>
        <w:rPr>
          <w:b/>
          <w:sz w:val="32"/>
          <w:szCs w:val="32"/>
        </w:rPr>
      </w:pPr>
    </w:p>
    <w:p w:rsidR="003B455C" w:rsidRDefault="003B455C" w:rsidP="00F1513A">
      <w:pPr>
        <w:rPr>
          <w:rFonts w:hint="eastAsia"/>
          <w:b/>
          <w:sz w:val="32"/>
          <w:szCs w:val="32"/>
        </w:rPr>
      </w:pPr>
    </w:p>
    <w:p w:rsidR="00F1513A" w:rsidRPr="00A56AC0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A56AC0">
        <w:rPr>
          <w:rFonts w:hint="eastAsia"/>
          <w:b/>
          <w:sz w:val="32"/>
          <w:szCs w:val="32"/>
        </w:rPr>
        <w:t>产品特性</w:t>
      </w:r>
    </w:p>
    <w:p w:rsidR="00367E61" w:rsidRDefault="00367E61" w:rsidP="00C4663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367E61">
        <w:rPr>
          <w:rFonts w:hint="eastAsia"/>
          <w:sz w:val="21"/>
          <w:szCs w:val="21"/>
        </w:rPr>
        <w:t>切换时间</w:t>
      </w:r>
      <w:r>
        <w:rPr>
          <w:rFonts w:hint="eastAsia"/>
          <w:sz w:val="21"/>
          <w:szCs w:val="21"/>
        </w:rPr>
        <w:t>快</w:t>
      </w:r>
    </w:p>
    <w:p w:rsidR="003916EA" w:rsidRDefault="003916EA" w:rsidP="00C4663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sz w:val="21"/>
          <w:szCs w:val="21"/>
        </w:rPr>
        <w:t>路由拓扑管理</w:t>
      </w:r>
    </w:p>
    <w:p w:rsidR="003916EA" w:rsidRDefault="003916EA" w:rsidP="00C4663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sz w:val="21"/>
          <w:szCs w:val="21"/>
        </w:rPr>
        <w:t>主备路由实时监测</w:t>
      </w:r>
    </w:p>
    <w:p w:rsidR="00367E61" w:rsidRDefault="00367E61" w:rsidP="00C4663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插入损耗低</w:t>
      </w:r>
    </w:p>
    <w:p w:rsidR="005935F6" w:rsidRDefault="005935F6" w:rsidP="00C4663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支持</w:t>
      </w:r>
      <w:r w:rsidR="003916EA">
        <w:rPr>
          <w:rFonts w:hint="eastAsia"/>
          <w:sz w:val="21"/>
          <w:szCs w:val="21"/>
        </w:rPr>
        <w:t>远程、本地调度</w:t>
      </w:r>
      <w:r>
        <w:rPr>
          <w:rFonts w:hint="eastAsia"/>
          <w:sz w:val="21"/>
          <w:szCs w:val="21"/>
        </w:rPr>
        <w:t>功能</w:t>
      </w:r>
    </w:p>
    <w:p w:rsidR="003916EA" w:rsidRDefault="003916EA" w:rsidP="00C4663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sz w:val="21"/>
          <w:szCs w:val="21"/>
        </w:rPr>
        <w:t>集成度高</w:t>
      </w:r>
    </w:p>
    <w:p w:rsidR="00367E61" w:rsidRDefault="00367E61" w:rsidP="00367E61">
      <w:pPr>
        <w:pStyle w:val="11"/>
        <w:spacing w:after="60" w:line="288" w:lineRule="auto"/>
        <w:ind w:left="0"/>
        <w:rPr>
          <w:sz w:val="21"/>
          <w:szCs w:val="21"/>
        </w:rPr>
      </w:pPr>
    </w:p>
    <w:p w:rsidR="003B455C" w:rsidRPr="00367E61" w:rsidRDefault="003B455C" w:rsidP="00367E61">
      <w:pPr>
        <w:pStyle w:val="11"/>
        <w:spacing w:after="60" w:line="288" w:lineRule="auto"/>
        <w:ind w:left="0"/>
        <w:rPr>
          <w:rFonts w:hint="eastAsia"/>
          <w:sz w:val="21"/>
          <w:szCs w:val="21"/>
        </w:rPr>
      </w:pPr>
    </w:p>
    <w:p w:rsidR="00F1513A" w:rsidRPr="00A56AC0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A56AC0">
        <w:rPr>
          <w:b/>
          <w:sz w:val="32"/>
          <w:szCs w:val="32"/>
        </w:rPr>
        <w:t>产品规格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693"/>
        <w:gridCol w:w="2410"/>
      </w:tblGrid>
      <w:tr w:rsidR="00EF29D6" w:rsidRPr="00FE62D7" w:rsidTr="00F86F35">
        <w:trPr>
          <w:trHeight w:val="321"/>
        </w:trPr>
        <w:tc>
          <w:tcPr>
            <w:tcW w:w="2235" w:type="dxa"/>
            <w:vMerge w:val="restart"/>
            <w:tcBorders>
              <w:left w:val="nil"/>
            </w:tcBorders>
            <w:shd w:val="clear" w:color="auto" w:fill="D9D9D9"/>
            <w:vAlign w:val="center"/>
          </w:tcPr>
          <w:p w:rsidR="00EF29D6" w:rsidRPr="00FE62D7" w:rsidRDefault="00EF29D6" w:rsidP="00BB2800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7654" w:type="dxa"/>
            <w:gridSpan w:val="3"/>
            <w:shd w:val="clear" w:color="auto" w:fill="D9D9D9"/>
            <w:vAlign w:val="center"/>
          </w:tcPr>
          <w:p w:rsidR="00EF29D6" w:rsidRPr="00FE62D7" w:rsidRDefault="009169C9" w:rsidP="00BB280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="00EF29D6">
              <w:rPr>
                <w:b/>
                <w:sz w:val="20"/>
                <w:szCs w:val="20"/>
              </w:rPr>
              <w:t>指标</w:t>
            </w:r>
          </w:p>
        </w:tc>
      </w:tr>
      <w:tr w:rsidR="00EF29D6" w:rsidRPr="00FE62D7" w:rsidTr="00F86F35">
        <w:trPr>
          <w:trHeight w:val="321"/>
        </w:trPr>
        <w:tc>
          <w:tcPr>
            <w:tcW w:w="2235" w:type="dxa"/>
            <w:vMerge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EF29D6" w:rsidRDefault="00EF29D6" w:rsidP="00BB2800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29D6" w:rsidRPr="00FE62D7" w:rsidRDefault="00EF29D6" w:rsidP="00BB280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E62D7">
              <w:rPr>
                <w:rFonts w:hint="eastAsia"/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29D6" w:rsidRPr="00FE62D7" w:rsidRDefault="00EF29D6" w:rsidP="00BB2800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普通</w:t>
            </w:r>
            <w:r>
              <w:rPr>
                <w:rFonts w:hint="eastAsia"/>
                <w:b/>
                <w:sz w:val="20"/>
                <w:szCs w:val="20"/>
              </w:rPr>
              <w:t>1:1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F29D6" w:rsidRPr="00FE62D7" w:rsidRDefault="00EF29D6" w:rsidP="00BB280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E62D7">
              <w:rPr>
                <w:rFonts w:hint="eastAsia"/>
                <w:b/>
                <w:sz w:val="20"/>
                <w:szCs w:val="20"/>
              </w:rPr>
              <w:t>低插损</w:t>
            </w:r>
            <w:r w:rsidRPr="00FE62D7">
              <w:rPr>
                <w:rFonts w:hint="eastAsia"/>
                <w:b/>
                <w:sz w:val="20"/>
                <w:szCs w:val="20"/>
              </w:rPr>
              <w:t>1:1</w:t>
            </w:r>
          </w:p>
        </w:tc>
      </w:tr>
      <w:tr w:rsidR="00EF29D6" w:rsidTr="00F86F35">
        <w:trPr>
          <w:trHeight w:val="321"/>
        </w:trPr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工作波长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>1260~1360</w:t>
            </w: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 xml:space="preserve"> nm</w:t>
            </w: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 xml:space="preserve"> or 1460~1640</w:t>
            </w: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 xml:space="preserve"> nm</w:t>
            </w:r>
          </w:p>
        </w:tc>
      </w:tr>
      <w:tr w:rsidR="00EF29D6" w:rsidTr="00F86F35">
        <w:trPr>
          <w:trHeight w:val="321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>切换时间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&lt;</w:t>
            </w: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>2</w:t>
            </w: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5 ms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&lt;</w:t>
            </w: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>50</w:t>
            </w: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 xml:space="preserve"> ms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&lt;</w:t>
            </w: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>50</w:t>
            </w: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 xml:space="preserve"> ms</w:t>
            </w:r>
          </w:p>
        </w:tc>
      </w:tr>
      <w:tr w:rsidR="00EF29D6" w:rsidTr="00F86F35">
        <w:trPr>
          <w:trHeight w:val="321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>主用插损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&lt;5dB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&lt;3</w:t>
            </w: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 xml:space="preserve"> </w:t>
            </w: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dB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&lt;1.5</w:t>
            </w: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 xml:space="preserve"> </w:t>
            </w: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dB</w:t>
            </w:r>
          </w:p>
        </w:tc>
      </w:tr>
      <w:tr w:rsidR="00EF29D6" w:rsidTr="00F86F35">
        <w:trPr>
          <w:trHeight w:val="321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>备用插损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&lt;5dB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&lt;3</w:t>
            </w: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 xml:space="preserve"> </w:t>
            </w: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dB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/>
                <w:color w:val="000000"/>
                <w:kern w:val="0"/>
                <w:sz w:val="20"/>
              </w:rPr>
              <w:t>&lt;3dB</w:t>
            </w:r>
          </w:p>
        </w:tc>
      </w:tr>
      <w:tr w:rsidR="00EF29D6" w:rsidTr="00F86F35">
        <w:trPr>
          <w:trHeight w:val="321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EF29D6" w:rsidP="00BB2800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>板卡宽度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EF29D6" w:rsidP="00BB2800">
            <w:pPr>
              <w:pStyle w:val="Default"/>
              <w:jc w:val="center"/>
              <w:rPr>
                <w:sz w:val="20"/>
                <w:szCs w:val="20"/>
              </w:rPr>
            </w:pPr>
            <w:r w:rsidRPr="003B455C">
              <w:rPr>
                <w:sz w:val="20"/>
                <w:szCs w:val="20"/>
              </w:rPr>
              <w:t>1</w:t>
            </w:r>
            <w:r w:rsidRPr="003B455C">
              <w:rPr>
                <w:rFonts w:hint="eastAsia"/>
                <w:sz w:val="20"/>
                <w:szCs w:val="20"/>
              </w:rPr>
              <w:t>标准功能槽位</w:t>
            </w:r>
          </w:p>
        </w:tc>
      </w:tr>
      <w:tr w:rsidR="005E2AAF" w:rsidTr="00F86F35">
        <w:trPr>
          <w:trHeight w:val="321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E2AAF" w:rsidRPr="00A56AC0" w:rsidRDefault="005E2AAF" w:rsidP="00BB2800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接口类型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AAF" w:rsidRPr="003B455C" w:rsidRDefault="005E2AAF" w:rsidP="00BB28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LC/UPC</w:t>
            </w:r>
          </w:p>
        </w:tc>
      </w:tr>
      <w:tr w:rsidR="00EF29D6" w:rsidTr="00F86F35">
        <w:trPr>
          <w:trHeight w:val="321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5E2AAF" w:rsidP="00A56AC0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最大</w:t>
            </w:r>
            <w:r w:rsidR="00EF29D6"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>功耗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>1W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9D6" w:rsidRPr="00A56AC0" w:rsidRDefault="00EF29D6" w:rsidP="00A56AC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56AC0">
              <w:rPr>
                <w:rFonts w:ascii="Calibri" w:hAnsi="Calibri" w:cs="Calibri" w:hint="eastAsia"/>
                <w:color w:val="000000"/>
                <w:kern w:val="0"/>
                <w:sz w:val="20"/>
              </w:rPr>
              <w:t>3W</w:t>
            </w:r>
          </w:p>
        </w:tc>
      </w:tr>
    </w:tbl>
    <w:p w:rsidR="0005465A" w:rsidRPr="00F1513A" w:rsidRDefault="00DF4241" w:rsidP="00F1513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E62D7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F55" w:rsidRDefault="00CD4F55">
      <w:r>
        <w:separator/>
      </w:r>
    </w:p>
  </w:endnote>
  <w:endnote w:type="continuationSeparator" w:id="0">
    <w:p w:rsidR="00CD4F55" w:rsidRDefault="00CD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DF4241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F55" w:rsidRDefault="00CD4F55">
      <w:r>
        <w:separator/>
      </w:r>
    </w:p>
  </w:footnote>
  <w:footnote w:type="continuationSeparator" w:id="0">
    <w:p w:rsidR="00CD4F55" w:rsidRDefault="00CD4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DF4241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58F8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B99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23F0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16EA"/>
    <w:rsid w:val="00393D9B"/>
    <w:rsid w:val="0039618C"/>
    <w:rsid w:val="003A0A59"/>
    <w:rsid w:val="003A317E"/>
    <w:rsid w:val="003A35E5"/>
    <w:rsid w:val="003A6651"/>
    <w:rsid w:val="003B137F"/>
    <w:rsid w:val="003B1BD4"/>
    <w:rsid w:val="003B455C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1ECD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771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16D2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97738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22C8"/>
    <w:rsid w:val="005E2AAF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1B82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169C9"/>
    <w:rsid w:val="00920DAD"/>
    <w:rsid w:val="009221E5"/>
    <w:rsid w:val="009266D0"/>
    <w:rsid w:val="00936E5B"/>
    <w:rsid w:val="00936F4D"/>
    <w:rsid w:val="009436F4"/>
    <w:rsid w:val="00943E29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56AC0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2800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4663B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4F55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DF4241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455A6"/>
    <w:rsid w:val="00E541A1"/>
    <w:rsid w:val="00E7299D"/>
    <w:rsid w:val="00E7766B"/>
    <w:rsid w:val="00E86A2C"/>
    <w:rsid w:val="00E87335"/>
    <w:rsid w:val="00E92802"/>
    <w:rsid w:val="00E939E2"/>
    <w:rsid w:val="00E95278"/>
    <w:rsid w:val="00E95355"/>
    <w:rsid w:val="00EA2B0C"/>
    <w:rsid w:val="00EA3A8E"/>
    <w:rsid w:val="00EA676A"/>
    <w:rsid w:val="00EB16F8"/>
    <w:rsid w:val="00EB7A75"/>
    <w:rsid w:val="00EC2B48"/>
    <w:rsid w:val="00EC41EE"/>
    <w:rsid w:val="00EC42D6"/>
    <w:rsid w:val="00EC4845"/>
    <w:rsid w:val="00ED18BB"/>
    <w:rsid w:val="00ED7CCF"/>
    <w:rsid w:val="00EE35DA"/>
    <w:rsid w:val="00EE5509"/>
    <w:rsid w:val="00EF29D6"/>
    <w:rsid w:val="00EF3E29"/>
    <w:rsid w:val="00EF6D9B"/>
    <w:rsid w:val="00F026F1"/>
    <w:rsid w:val="00F0423C"/>
    <w:rsid w:val="00F1513A"/>
    <w:rsid w:val="00F20116"/>
    <w:rsid w:val="00F2360E"/>
    <w:rsid w:val="00F24DA2"/>
    <w:rsid w:val="00F271E5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86F35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62D7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CF99D7-E1EE-4298-99CA-643433D6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5FFF-E8B4-4BCB-BFB9-A5C02C85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56</Words>
  <Characters>325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2017-07-11T06:03:00Z</dcterms:created>
  <dcterms:modified xsi:type="dcterms:W3CDTF">2017-07-11T06:03:00Z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